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Resumen del Perfil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Con años de experiencia como programador, me enfoco en mejorar el software y guiar a equipos de TI a nivel global. Como constructor de puentes, busco transformar los negocios a través de soluciones de TI efectivas y la colaboración.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Idiomas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Neerlandés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Inglés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Alemán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Intereses Personales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Automatización del hogar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Desarrollo en Python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Contribuciones de código abierto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Energía renovable y sostenibilidad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Actividades Personales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Senderismo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Remo en interiores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Voluntario como coach de energía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Contacto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Este es el 'TL;DR' de mi Currículum. Para ver mi Currículum completo, me gustaría remitirte a LinkedIn o a mi sitio de Currículum.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Product Owner / Manager | Desarrollador Senior &amp; Apasionado por la Tecnología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Experiencia Laboral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Actual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proyectos, Liderazgo de equipo, Desarrollo de software, Metodologías Agile, Product Owner, Legislación DAC7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proyectos, Planificación de proyectos, Product Owner, Habilidades analíticas, Análisis de negocios, Liderazgo de equipo, Metodologías Agile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Gerente de Proyectos / Líder Operacional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Liderazgo de equipo, Gestión de proyectos, Gestión de operaciones, Metodologías Agile, Product Owner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Gerente de Desarrollo de TI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India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TI, Gestión de proyectos, Planificación de proyectos, Operaciones de TI, Liderazgo de equipo, Desarrollo de software, Metodologías Agile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Más experiencia laboral se puede encontrar en mi página de LinkedIn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Educación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Diseño e Interacción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Informática y Administración de Empresas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Habilidades Técnicas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Fórmulas de Lotus Notes, LotusScript, ABAP-OO, Flex2.0, Product Owner, Script de formulario PDF, VisualBasic, PHP, ASP Clásico, Python, ActionScript, Bash, Raspberry Pi, Automatización del hogar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Certificados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level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Gestión Ejecutiva Senior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